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Default="00B300E6" w:rsidP="006A7C5D">
      <w:pPr>
        <w:jc w:val="right"/>
        <w:rPr>
          <w:b/>
          <w:caps/>
        </w:rPr>
      </w:pPr>
    </w:p>
    <w:tbl>
      <w:tblPr>
        <w:tblW w:w="8892" w:type="dxa"/>
        <w:tblInd w:w="534" w:type="dxa"/>
        <w:tblLayout w:type="fixed"/>
        <w:tblLook w:val="0000"/>
      </w:tblPr>
      <w:tblGrid>
        <w:gridCol w:w="774"/>
        <w:gridCol w:w="5640"/>
        <w:gridCol w:w="2478"/>
      </w:tblGrid>
      <w:tr w:rsidR="00582AB7" w:rsidRPr="003D35B5" w:rsidTr="00AB4FCD">
        <w:trPr>
          <w:tblHeader/>
        </w:trPr>
        <w:tc>
          <w:tcPr>
            <w:tcW w:w="774" w:type="dxa"/>
            <w:tcBorders>
              <w:top w:val="single" w:sz="4" w:space="0" w:color="auto"/>
              <w:left w:val="single" w:sz="4" w:space="0" w:color="auto"/>
              <w:bottom w:val="single" w:sz="4" w:space="0" w:color="auto"/>
              <w:right w:val="single" w:sz="4" w:space="0" w:color="auto"/>
            </w:tcBorders>
            <w:vAlign w:val="center"/>
          </w:tcPr>
          <w:p w:rsidR="00582AB7" w:rsidRPr="003D35B5" w:rsidRDefault="00582AB7" w:rsidP="00AB4FCD">
            <w:pPr>
              <w:pStyle w:val="afe"/>
              <w:tabs>
                <w:tab w:val="clear" w:pos="1980"/>
                <w:tab w:val="left" w:pos="993"/>
              </w:tabs>
              <w:ind w:left="-108" w:right="-42" w:firstLine="0"/>
              <w:jc w:val="center"/>
              <w:rPr>
                <w:bCs/>
                <w:szCs w:val="24"/>
              </w:rPr>
            </w:pPr>
            <w:r w:rsidRPr="003D35B5">
              <w:rPr>
                <w:bCs/>
                <w:szCs w:val="24"/>
              </w:rPr>
              <w:t xml:space="preserve">Номер </w:t>
            </w:r>
            <w:r w:rsidRPr="003D35B5">
              <w:rPr>
                <w:bCs/>
                <w:szCs w:val="24"/>
              </w:rPr>
              <w:br/>
              <w:t>крит</w:t>
            </w:r>
            <w:r w:rsidRPr="003D35B5">
              <w:rPr>
                <w:bCs/>
                <w:szCs w:val="24"/>
              </w:rPr>
              <w:t>е</w:t>
            </w:r>
            <w:r w:rsidRPr="003D35B5">
              <w:rPr>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82AB7" w:rsidRPr="003D35B5" w:rsidRDefault="00582AB7" w:rsidP="00AB4FCD">
            <w:pPr>
              <w:pStyle w:val="afe"/>
              <w:tabs>
                <w:tab w:val="clear" w:pos="1980"/>
                <w:tab w:val="left" w:pos="993"/>
              </w:tabs>
              <w:ind w:left="0" w:firstLine="0"/>
              <w:jc w:val="center"/>
              <w:rPr>
                <w:bCs/>
                <w:szCs w:val="24"/>
              </w:rPr>
            </w:pPr>
            <w:r w:rsidRPr="003D35B5">
              <w:rPr>
                <w:bCs/>
                <w:szCs w:val="24"/>
              </w:rPr>
              <w:t xml:space="preserve">Критерии оценки </w:t>
            </w:r>
            <w:r w:rsidRPr="003D35B5">
              <w:rPr>
                <w:bCs/>
                <w:szCs w:val="24"/>
              </w:rPr>
              <w:br/>
              <w:t xml:space="preserve">заявок на Участие в </w:t>
            </w:r>
            <w:r w:rsidRPr="003D35B5">
              <w:t xml:space="preserve">запросе предложений </w:t>
            </w:r>
            <w:r w:rsidRPr="003D35B5">
              <w:rPr>
                <w:rStyle w:val="aff9"/>
                <w:bCs/>
                <w:szCs w:val="24"/>
              </w:rPr>
              <w:footnoteReference w:id="2"/>
            </w:r>
          </w:p>
        </w:tc>
        <w:tc>
          <w:tcPr>
            <w:tcW w:w="2478" w:type="dxa"/>
            <w:tcBorders>
              <w:top w:val="single" w:sz="4" w:space="0" w:color="auto"/>
              <w:left w:val="single" w:sz="4" w:space="0" w:color="auto"/>
              <w:bottom w:val="single" w:sz="4" w:space="0" w:color="auto"/>
              <w:right w:val="single" w:sz="4" w:space="0" w:color="auto"/>
            </w:tcBorders>
            <w:vAlign w:val="center"/>
          </w:tcPr>
          <w:p w:rsidR="00582AB7" w:rsidRPr="003D35B5" w:rsidRDefault="00582AB7" w:rsidP="00AB4FCD">
            <w:pPr>
              <w:pStyle w:val="afe"/>
              <w:tabs>
                <w:tab w:val="clear" w:pos="1980"/>
                <w:tab w:val="left" w:pos="993"/>
              </w:tabs>
              <w:ind w:left="0" w:firstLine="0"/>
              <w:jc w:val="center"/>
              <w:rPr>
                <w:bCs/>
                <w:szCs w:val="24"/>
              </w:rPr>
            </w:pPr>
            <w:r w:rsidRPr="003D35B5">
              <w:rPr>
                <w:bCs/>
                <w:szCs w:val="24"/>
              </w:rPr>
              <w:t>Значимость критер</w:t>
            </w:r>
            <w:r w:rsidRPr="003D35B5">
              <w:rPr>
                <w:bCs/>
                <w:szCs w:val="24"/>
              </w:rPr>
              <w:t>и</w:t>
            </w:r>
            <w:r w:rsidRPr="003D35B5">
              <w:rPr>
                <w:bCs/>
                <w:szCs w:val="24"/>
              </w:rPr>
              <w:t>ев в процентах</w:t>
            </w:r>
          </w:p>
          <w:p w:rsidR="00582AB7" w:rsidRPr="003D35B5" w:rsidRDefault="00582AB7" w:rsidP="00AB4FCD">
            <w:pPr>
              <w:pStyle w:val="afe"/>
              <w:tabs>
                <w:tab w:val="clear" w:pos="1980"/>
                <w:tab w:val="left" w:pos="993"/>
              </w:tabs>
              <w:ind w:left="0" w:firstLine="0"/>
              <w:jc w:val="center"/>
              <w:rPr>
                <w:bCs/>
                <w:szCs w:val="24"/>
              </w:rPr>
            </w:pPr>
            <w:r w:rsidRPr="003D35B5">
              <w:rPr>
                <w:bCs/>
                <w:szCs w:val="24"/>
              </w:rPr>
              <w:t>(К)</w:t>
            </w:r>
            <w:r w:rsidRPr="003D35B5">
              <w:rPr>
                <w:rStyle w:val="aff9"/>
                <w:bCs/>
                <w:szCs w:val="24"/>
              </w:rPr>
              <w:footnoteReference w:id="3"/>
            </w:r>
          </w:p>
        </w:tc>
      </w:tr>
      <w:tr w:rsidR="00582AB7" w:rsidRPr="003D35B5" w:rsidTr="00AB4FCD">
        <w:trPr>
          <w:trHeight w:val="70"/>
        </w:trPr>
        <w:tc>
          <w:tcPr>
            <w:tcW w:w="774" w:type="dxa"/>
            <w:tcBorders>
              <w:top w:val="single" w:sz="4" w:space="0" w:color="auto"/>
              <w:left w:val="single" w:sz="4" w:space="0" w:color="auto"/>
              <w:bottom w:val="single" w:sz="4" w:space="0" w:color="auto"/>
              <w:right w:val="single" w:sz="4" w:space="0" w:color="auto"/>
            </w:tcBorders>
          </w:tcPr>
          <w:p w:rsidR="00582AB7" w:rsidRPr="003D35B5" w:rsidRDefault="00582AB7" w:rsidP="00AB4FCD">
            <w:pPr>
              <w:pStyle w:val="afe"/>
              <w:tabs>
                <w:tab w:val="clear" w:pos="1980"/>
                <w:tab w:val="left" w:pos="993"/>
              </w:tabs>
              <w:ind w:left="0" w:firstLine="0"/>
              <w:jc w:val="center"/>
              <w:rPr>
                <w:szCs w:val="24"/>
              </w:rPr>
            </w:pPr>
            <w:r w:rsidRPr="003D35B5">
              <w:rPr>
                <w:szCs w:val="24"/>
              </w:rPr>
              <w:t>1.</w:t>
            </w:r>
          </w:p>
        </w:tc>
        <w:tc>
          <w:tcPr>
            <w:tcW w:w="5640" w:type="dxa"/>
            <w:tcBorders>
              <w:top w:val="single" w:sz="4" w:space="0" w:color="auto"/>
              <w:left w:val="single" w:sz="4" w:space="0" w:color="auto"/>
              <w:bottom w:val="single" w:sz="4" w:space="0" w:color="auto"/>
              <w:right w:val="single" w:sz="4" w:space="0" w:color="auto"/>
            </w:tcBorders>
          </w:tcPr>
          <w:p w:rsidR="00582AB7" w:rsidRPr="003D35B5" w:rsidRDefault="00582AB7" w:rsidP="00AB4FCD">
            <w:pPr>
              <w:pStyle w:val="afe"/>
              <w:tabs>
                <w:tab w:val="clear" w:pos="1980"/>
                <w:tab w:val="left" w:pos="993"/>
              </w:tabs>
              <w:ind w:left="0" w:firstLine="0"/>
              <w:rPr>
                <w:szCs w:val="24"/>
              </w:rPr>
            </w:pPr>
            <w:r w:rsidRPr="003D35B5">
              <w:rPr>
                <w:szCs w:val="24"/>
              </w:rPr>
              <w:t>Начальный (максимальный) тариф по инкассации наличных денег</w:t>
            </w:r>
          </w:p>
        </w:tc>
        <w:tc>
          <w:tcPr>
            <w:tcW w:w="2478" w:type="dxa"/>
            <w:tcBorders>
              <w:top w:val="single" w:sz="4" w:space="0" w:color="auto"/>
              <w:left w:val="single" w:sz="4" w:space="0" w:color="auto"/>
              <w:bottom w:val="single" w:sz="4" w:space="0" w:color="auto"/>
              <w:right w:val="single" w:sz="4" w:space="0" w:color="auto"/>
            </w:tcBorders>
          </w:tcPr>
          <w:p w:rsidR="00582AB7" w:rsidRPr="003D35B5" w:rsidRDefault="00582AB7" w:rsidP="00AB4FCD">
            <w:pPr>
              <w:pStyle w:val="afe"/>
              <w:tabs>
                <w:tab w:val="left" w:pos="993"/>
              </w:tabs>
              <w:ind w:left="34" w:firstLine="0"/>
              <w:jc w:val="center"/>
              <w:rPr>
                <w:szCs w:val="24"/>
              </w:rPr>
            </w:pPr>
            <w:r w:rsidRPr="003D35B5">
              <w:rPr>
                <w:szCs w:val="24"/>
              </w:rPr>
              <w:t>60%</w:t>
            </w:r>
          </w:p>
        </w:tc>
      </w:tr>
      <w:tr w:rsidR="00582AB7" w:rsidRPr="003D35B5" w:rsidTr="00AB4FCD">
        <w:trPr>
          <w:trHeight w:val="70"/>
        </w:trPr>
        <w:tc>
          <w:tcPr>
            <w:tcW w:w="774" w:type="dxa"/>
            <w:tcBorders>
              <w:top w:val="single" w:sz="4" w:space="0" w:color="auto"/>
              <w:left w:val="single" w:sz="4" w:space="0" w:color="auto"/>
              <w:bottom w:val="single" w:sz="4" w:space="0" w:color="auto"/>
              <w:right w:val="single" w:sz="4" w:space="0" w:color="auto"/>
            </w:tcBorders>
          </w:tcPr>
          <w:p w:rsidR="00582AB7" w:rsidRPr="003D35B5" w:rsidRDefault="00582AB7" w:rsidP="00AB4FCD">
            <w:pPr>
              <w:pStyle w:val="afe"/>
              <w:tabs>
                <w:tab w:val="clear" w:pos="1980"/>
                <w:tab w:val="left" w:pos="993"/>
              </w:tabs>
              <w:ind w:left="0" w:firstLine="0"/>
              <w:jc w:val="center"/>
              <w:rPr>
                <w:szCs w:val="24"/>
              </w:rPr>
            </w:pPr>
            <w:r w:rsidRPr="003D35B5">
              <w:rPr>
                <w:szCs w:val="24"/>
              </w:rPr>
              <w:t>2.</w:t>
            </w:r>
          </w:p>
        </w:tc>
        <w:tc>
          <w:tcPr>
            <w:tcW w:w="5640" w:type="dxa"/>
            <w:tcBorders>
              <w:top w:val="single" w:sz="4" w:space="0" w:color="auto"/>
              <w:left w:val="single" w:sz="4" w:space="0" w:color="auto"/>
              <w:bottom w:val="single" w:sz="4" w:space="0" w:color="auto"/>
              <w:right w:val="single" w:sz="4" w:space="0" w:color="auto"/>
            </w:tcBorders>
          </w:tcPr>
          <w:p w:rsidR="00582AB7" w:rsidRPr="003D35B5" w:rsidRDefault="00582AB7" w:rsidP="00AB4FCD">
            <w:pPr>
              <w:pStyle w:val="afe"/>
              <w:tabs>
                <w:tab w:val="clear" w:pos="1980"/>
                <w:tab w:val="left" w:pos="993"/>
              </w:tabs>
              <w:ind w:left="0" w:firstLine="0"/>
              <w:rPr>
                <w:szCs w:val="24"/>
              </w:rPr>
            </w:pPr>
            <w:r w:rsidRPr="003D35B5">
              <w:rPr>
                <w:szCs w:val="24"/>
              </w:rPr>
              <w:t>Начальный (максимальный) тариф по пересчету н</w:t>
            </w:r>
            <w:r w:rsidRPr="003D35B5">
              <w:rPr>
                <w:szCs w:val="24"/>
              </w:rPr>
              <w:t>а</w:t>
            </w:r>
            <w:r w:rsidRPr="003D35B5">
              <w:rPr>
                <w:szCs w:val="24"/>
              </w:rPr>
              <w:t>личных денег</w:t>
            </w:r>
          </w:p>
        </w:tc>
        <w:tc>
          <w:tcPr>
            <w:tcW w:w="2478" w:type="dxa"/>
            <w:tcBorders>
              <w:top w:val="single" w:sz="4" w:space="0" w:color="auto"/>
              <w:left w:val="single" w:sz="4" w:space="0" w:color="auto"/>
              <w:bottom w:val="single" w:sz="4" w:space="0" w:color="auto"/>
              <w:right w:val="single" w:sz="4" w:space="0" w:color="auto"/>
            </w:tcBorders>
          </w:tcPr>
          <w:p w:rsidR="00582AB7" w:rsidRPr="003D35B5" w:rsidRDefault="00582AB7" w:rsidP="00AB4FCD">
            <w:pPr>
              <w:pStyle w:val="afe"/>
              <w:tabs>
                <w:tab w:val="left" w:pos="993"/>
              </w:tabs>
              <w:ind w:left="34" w:firstLine="0"/>
              <w:jc w:val="center"/>
              <w:rPr>
                <w:szCs w:val="24"/>
              </w:rPr>
            </w:pPr>
            <w:r w:rsidRPr="003D35B5">
              <w:rPr>
                <w:szCs w:val="24"/>
              </w:rPr>
              <w:t>40%</w:t>
            </w:r>
          </w:p>
        </w:tc>
      </w:tr>
      <w:tr w:rsidR="00582AB7" w:rsidRPr="008140D0" w:rsidTr="00AB4FCD">
        <w:trPr>
          <w:trHeight w:val="623"/>
        </w:trPr>
        <w:tc>
          <w:tcPr>
            <w:tcW w:w="774" w:type="dxa"/>
            <w:tcBorders>
              <w:top w:val="single" w:sz="4" w:space="0" w:color="auto"/>
              <w:left w:val="single" w:sz="4" w:space="0" w:color="auto"/>
              <w:bottom w:val="single" w:sz="4" w:space="0" w:color="auto"/>
              <w:right w:val="single" w:sz="4" w:space="0" w:color="auto"/>
            </w:tcBorders>
          </w:tcPr>
          <w:p w:rsidR="00582AB7" w:rsidRPr="003D35B5" w:rsidRDefault="00582AB7" w:rsidP="00AB4FCD">
            <w:pPr>
              <w:pStyle w:val="afe"/>
              <w:tabs>
                <w:tab w:val="clear" w:pos="1980"/>
                <w:tab w:val="left" w:pos="993"/>
              </w:tabs>
              <w:ind w:left="0" w:firstLine="0"/>
              <w:jc w:val="center"/>
              <w:rPr>
                <w:szCs w:val="24"/>
              </w:rPr>
            </w:pPr>
          </w:p>
        </w:tc>
        <w:tc>
          <w:tcPr>
            <w:tcW w:w="5640" w:type="dxa"/>
            <w:tcBorders>
              <w:top w:val="single" w:sz="4" w:space="0" w:color="auto"/>
              <w:left w:val="single" w:sz="4" w:space="0" w:color="auto"/>
              <w:bottom w:val="single" w:sz="4" w:space="0" w:color="auto"/>
              <w:right w:val="single" w:sz="4" w:space="0" w:color="auto"/>
            </w:tcBorders>
          </w:tcPr>
          <w:p w:rsidR="00582AB7" w:rsidRPr="003D35B5" w:rsidRDefault="00582AB7" w:rsidP="00AB4FCD">
            <w:pPr>
              <w:pStyle w:val="afe"/>
              <w:tabs>
                <w:tab w:val="left" w:pos="993"/>
              </w:tabs>
              <w:ind w:left="0" w:firstLine="0"/>
              <w:rPr>
                <w:szCs w:val="24"/>
              </w:rPr>
            </w:pPr>
            <w:r w:rsidRPr="003D35B5">
              <w:rPr>
                <w:b/>
                <w:szCs w:val="24"/>
              </w:rPr>
              <w:t xml:space="preserve">Сумма значимостей критериев оценки заявок на Участие в </w:t>
            </w:r>
            <w:r w:rsidRPr="003D35B5">
              <w:rPr>
                <w:b/>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82AB7" w:rsidRPr="00CB1431" w:rsidRDefault="00582AB7" w:rsidP="00AB4FCD">
            <w:pPr>
              <w:tabs>
                <w:tab w:val="left" w:pos="993"/>
              </w:tabs>
              <w:jc w:val="center"/>
            </w:pPr>
            <w:r w:rsidRPr="003D35B5">
              <w:rPr>
                <w:b/>
              </w:rPr>
              <w:t>100%</w:t>
            </w:r>
          </w:p>
        </w:tc>
      </w:tr>
    </w:tbl>
    <w:p w:rsidR="00582AB7" w:rsidRDefault="00582AB7" w:rsidP="006A7C5D">
      <w:pPr>
        <w:jc w:val="right"/>
        <w:rPr>
          <w:b/>
          <w:caps/>
        </w:rPr>
      </w:pPr>
    </w:p>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582AB7">
        <w:rPr>
          <w:b/>
        </w:rPr>
        <w:t>«</w:t>
      </w:r>
      <w:r w:rsidR="00582AB7" w:rsidRPr="00582AB7">
        <w:rPr>
          <w:b/>
        </w:rPr>
        <w:t>Начальный (максимальный) тариф по инкассации наличных денег</w:t>
      </w:r>
      <w:r w:rsidR="00582AB7" w:rsidRPr="00582AB7">
        <w:rPr>
          <w:b/>
        </w:rPr>
        <w:t xml:space="preserve">/ </w:t>
      </w:r>
      <w:r w:rsidR="00582AB7" w:rsidRPr="00582AB7">
        <w:rPr>
          <w:b/>
        </w:rPr>
        <w:t>Начальный (максимальный) тариф по пересчету н</w:t>
      </w:r>
      <w:r w:rsidR="00582AB7" w:rsidRPr="00582AB7">
        <w:rPr>
          <w:b/>
        </w:rPr>
        <w:t>а</w:t>
      </w:r>
      <w:r w:rsidR="00582AB7" w:rsidRPr="00582AB7">
        <w:rPr>
          <w:b/>
        </w:rPr>
        <w:t>личных денег</w:t>
      </w:r>
      <w:r w:rsidR="00B300E6" w:rsidRPr="00582AB7">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582AB7" w:rsidP="006A7C5D">
            <w:pPr>
              <w:pStyle w:val="aff2"/>
              <w:spacing w:before="0" w:beforeAutospacing="0" w:after="0" w:afterAutospacing="0"/>
              <w:ind w:hanging="3"/>
            </w:pPr>
            <w:r w:rsidRPr="003D35B5">
              <w:t>Начальный (ма</w:t>
            </w:r>
            <w:r w:rsidRPr="003D35B5">
              <w:t>к</w:t>
            </w:r>
            <w:r w:rsidRPr="003D35B5">
              <w:t>симальный) т</w:t>
            </w:r>
            <w:r w:rsidRPr="003D35B5">
              <w:t>а</w:t>
            </w:r>
            <w:r w:rsidRPr="003D35B5">
              <w:t>риф по инкасс</w:t>
            </w:r>
            <w:r w:rsidRPr="003D35B5">
              <w:t>а</w:t>
            </w:r>
            <w:r w:rsidRPr="003D35B5">
              <w:t>ции наличных денег</w:t>
            </w:r>
            <w:r>
              <w:t>/</w:t>
            </w:r>
            <w:r w:rsidRPr="00582AB7">
              <w:t xml:space="preserve"> </w:t>
            </w:r>
            <w:r w:rsidRPr="003D35B5">
              <w:t>Начал</w:t>
            </w:r>
            <w:r w:rsidRPr="003D35B5">
              <w:t>ь</w:t>
            </w:r>
            <w:r w:rsidRPr="003D35B5">
              <w:t>ный (максимал</w:t>
            </w:r>
            <w:r w:rsidRPr="003D35B5">
              <w:t>ь</w:t>
            </w:r>
            <w:r w:rsidRPr="003D35B5">
              <w:t>ный) тариф по пересчету н</w:t>
            </w:r>
            <w:r w:rsidRPr="003D35B5">
              <w:t>а</w:t>
            </w:r>
            <w:r w:rsidRPr="003D35B5">
              <w:t>личных денег</w:t>
            </w:r>
          </w:p>
        </w:tc>
        <w:tc>
          <w:tcPr>
            <w:tcW w:w="2223" w:type="dxa"/>
            <w:tcBorders>
              <w:top w:val="single" w:sz="4" w:space="0" w:color="auto"/>
              <w:left w:val="single" w:sz="4" w:space="0" w:color="auto"/>
              <w:right w:val="single" w:sz="4" w:space="0" w:color="auto"/>
            </w:tcBorders>
          </w:tcPr>
          <w:p w:rsidR="00B8524D" w:rsidRPr="00A4788C" w:rsidRDefault="00582AB7" w:rsidP="00582AB7">
            <w:pPr>
              <w:pStyle w:val="aff2"/>
              <w:spacing w:before="0" w:beforeAutospacing="0" w:after="0" w:afterAutospacing="0"/>
              <w:jc w:val="center"/>
            </w:pPr>
            <w:r>
              <w:t>Процент</w:t>
            </w:r>
          </w:p>
        </w:tc>
        <w:tc>
          <w:tcPr>
            <w:tcW w:w="5135" w:type="dxa"/>
            <w:tcBorders>
              <w:top w:val="single" w:sz="4" w:space="0" w:color="auto"/>
              <w:left w:val="single" w:sz="4" w:space="0" w:color="auto"/>
              <w:right w:val="single" w:sz="4" w:space="0" w:color="auto"/>
            </w:tcBorders>
          </w:tcPr>
          <w:p w:rsidR="00B8524D" w:rsidRPr="00A4788C" w:rsidRDefault="00E15BE5" w:rsidP="00582AB7">
            <w:pPr>
              <w:jc w:val="both"/>
            </w:pPr>
            <w:r w:rsidRPr="00A4788C">
              <w:t xml:space="preserve">Оценивается </w:t>
            </w:r>
            <w:r>
              <w:t>предложение</w:t>
            </w:r>
            <w:r w:rsidRPr="00A4788C">
              <w:t xml:space="preserve"> </w:t>
            </w:r>
            <w:r w:rsidR="00582AB7">
              <w:t>(размер тарифа)</w:t>
            </w:r>
            <w:r w:rsidRPr="00A4788C">
              <w:t xml:space="preserve">, </w:t>
            </w:r>
            <w:r>
              <w:t>указанное</w:t>
            </w:r>
            <w:r w:rsidRPr="00A4788C">
              <w:t xml:space="preserve"> участником </w:t>
            </w:r>
            <w:r w:rsidRPr="006F4D6D">
              <w:t>запроса пре</w:t>
            </w:r>
            <w:r w:rsidRPr="006F4D6D">
              <w:t>д</w:t>
            </w:r>
            <w:r w:rsidRPr="006F4D6D">
              <w:t>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w:t>
            </w:r>
            <w:r w:rsidR="00582AB7">
              <w:t xml:space="preserve"> (размер тарифа)</w:t>
            </w:r>
            <w:r>
              <w:t xml:space="preserve"> участника пр</w:t>
            </w:r>
            <w:r>
              <w:t>о</w:t>
            </w:r>
            <w:r>
              <w:t>цедуры закупки</w:t>
            </w:r>
          </w:p>
        </w:tc>
      </w:tr>
    </w:tbl>
    <w:p w:rsidR="009D1788" w:rsidRDefault="009D1788" w:rsidP="006A7C5D">
      <w:pPr>
        <w:keepNext/>
        <w:ind w:left="357"/>
        <w:rPr>
          <w:b/>
        </w:rPr>
      </w:pPr>
    </w:p>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lastRenderedPageBreak/>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w:t>
      </w:r>
      <w:r w:rsidR="00582AB7">
        <w:t xml:space="preserve">рисуждаемый заявке по критерию </w:t>
      </w:r>
      <w:r w:rsidR="00582AB7" w:rsidRPr="00582AB7">
        <w:rPr>
          <w:b/>
        </w:rPr>
        <w:t>«</w:t>
      </w:r>
      <w:r w:rsidR="00582AB7" w:rsidRPr="00582AB7">
        <w:rPr>
          <w:b/>
        </w:rPr>
        <w:t>Начальный (максимальный) т</w:t>
      </w:r>
      <w:r w:rsidR="00582AB7" w:rsidRPr="00582AB7">
        <w:rPr>
          <w:b/>
        </w:rPr>
        <w:t>а</w:t>
      </w:r>
      <w:r w:rsidR="00582AB7" w:rsidRPr="00582AB7">
        <w:rPr>
          <w:b/>
        </w:rPr>
        <w:t>риф по инкассации наличных денег</w:t>
      </w:r>
      <w:r w:rsidR="00582AB7" w:rsidRPr="00582AB7">
        <w:rPr>
          <w:b/>
        </w:rPr>
        <w:t xml:space="preserve">/ </w:t>
      </w:r>
      <w:r w:rsidR="00582AB7" w:rsidRPr="00582AB7">
        <w:rPr>
          <w:b/>
        </w:rPr>
        <w:t>Начальный (максимальный) тариф по пересчету н</w:t>
      </w:r>
      <w:r w:rsidR="00582AB7" w:rsidRPr="00582AB7">
        <w:rPr>
          <w:b/>
        </w:rPr>
        <w:t>а</w:t>
      </w:r>
      <w:r w:rsidR="00582AB7" w:rsidRPr="00582AB7">
        <w:rPr>
          <w:b/>
        </w:rPr>
        <w:t>личных денег</w:t>
      </w:r>
      <w:r w:rsidR="00582AB7" w:rsidRPr="00582AB7">
        <w:rPr>
          <w:b/>
        </w:rPr>
        <w:t>»</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56130059"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указанное в заявке на участие в запросе предложений из представленных участниками процедуры запроса пре</w:t>
      </w:r>
      <w:r>
        <w:rPr>
          <w:rFonts w:ascii="Times New Roman" w:hAnsi="Times New Roman" w:cs="Times New Roman"/>
          <w:sz w:val="24"/>
          <w:szCs w:val="24"/>
        </w:rPr>
        <w:t>д</w:t>
      </w:r>
      <w:r>
        <w:rPr>
          <w:rFonts w:ascii="Times New Roman" w:hAnsi="Times New Roman" w:cs="Times New Roman"/>
          <w:sz w:val="24"/>
          <w:szCs w:val="24"/>
        </w:rPr>
        <w:t>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критерию </w:t>
      </w:r>
      <w:r w:rsidR="00582AB7" w:rsidRPr="00582AB7">
        <w:t>«</w:t>
      </w:r>
      <w:r w:rsidR="00582AB7" w:rsidRPr="00582AB7">
        <w:t>Начальный (максимальный) тариф по и</w:t>
      </w:r>
      <w:r w:rsidR="00582AB7" w:rsidRPr="00582AB7">
        <w:t>н</w:t>
      </w:r>
      <w:r w:rsidR="00582AB7" w:rsidRPr="00582AB7">
        <w:t>кассации наличных денег</w:t>
      </w:r>
      <w:r w:rsidR="00582AB7" w:rsidRPr="00582AB7">
        <w:t xml:space="preserve">/ </w:t>
      </w:r>
      <w:r w:rsidR="00582AB7" w:rsidRPr="00582AB7">
        <w:t>Начальный (максимальный) тариф по пересчету нали</w:t>
      </w:r>
      <w:r w:rsidR="00582AB7" w:rsidRPr="00582AB7">
        <w:t>ч</w:t>
      </w:r>
      <w:r w:rsidR="00582AB7" w:rsidRPr="00582AB7">
        <w:t>ных денег</w:t>
      </w:r>
      <w:r w:rsidR="00582AB7" w:rsidRPr="00582AB7">
        <w:t>»</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sectPr w:rsidR="00557921" w:rsidRPr="00A4788C"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3626" w:rsidRDefault="00B53626">
      <w:r>
        <w:separator/>
      </w:r>
    </w:p>
  </w:endnote>
  <w:endnote w:type="continuationSeparator" w:id="1">
    <w:p w:rsidR="00B53626" w:rsidRDefault="00B536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3626" w:rsidRDefault="00B53626">
      <w:r>
        <w:separator/>
      </w:r>
    </w:p>
  </w:footnote>
  <w:footnote w:type="continuationSeparator" w:id="1">
    <w:p w:rsidR="00B53626" w:rsidRDefault="00B53626">
      <w:r>
        <w:continuationSeparator/>
      </w:r>
    </w:p>
  </w:footnote>
  <w:footnote w:id="2">
    <w:p w:rsidR="00582AB7" w:rsidRPr="00582AB7" w:rsidRDefault="00582AB7" w:rsidP="00582AB7">
      <w:pPr>
        <w:pStyle w:val="affa"/>
        <w:rPr>
          <w:color w:val="FFFFFF" w:themeColor="background1"/>
        </w:rPr>
      </w:pPr>
      <w:r w:rsidRPr="00582AB7">
        <w:rPr>
          <w:rStyle w:val="aff9"/>
          <w:color w:val="FFFFFF" w:themeColor="background1"/>
        </w:rPr>
        <w:footnoteRef/>
      </w:r>
      <w:r w:rsidRPr="00582AB7">
        <w:rPr>
          <w:color w:val="FFFFFF" w:themeColor="background1"/>
        </w:rPr>
        <w:t xml:space="preserve"> Выбрать нужные, конкретизировать (убрать лишние слова, товары, работы или услуги)</w:t>
      </w:r>
    </w:p>
  </w:footnote>
  <w:footnote w:id="3">
    <w:p w:rsidR="00582AB7" w:rsidRDefault="00582AB7" w:rsidP="00582AB7">
      <w:pPr>
        <w:pStyle w:val="affa"/>
      </w:pPr>
      <w:r w:rsidRPr="00582AB7">
        <w:rPr>
          <w:rStyle w:val="aff9"/>
          <w:color w:val="FFFFFF" w:themeColor="background1"/>
        </w:rPr>
        <w:footnoteRef/>
      </w:r>
      <w:r w:rsidRPr="00582AB7">
        <w:rPr>
          <w:color w:val="FFFFFF" w:themeColor="background1"/>
        </w:rPr>
        <w:t xml:space="preserve"> Проценты определяет ответственный исполнитель по значимости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7E4F60"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7E4F60"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582AB7">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2AB7"/>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4F60"/>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626"/>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545</Words>
  <Characters>3110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5</cp:revision>
  <cp:lastPrinted>2011-10-03T13:01:00Z</cp:lastPrinted>
  <dcterms:created xsi:type="dcterms:W3CDTF">2013-03-06T09:10:00Z</dcterms:created>
  <dcterms:modified xsi:type="dcterms:W3CDTF">2014-03-12T05:48:00Z</dcterms:modified>
</cp:coreProperties>
</file>